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CE7" w:rsidRDefault="001C2CE7" w:rsidP="001C2CE7">
      <w:pPr>
        <w:pStyle w:val="NoSpacing"/>
      </w:pPr>
    </w:p>
    <w:p w:rsidR="001C2CE7" w:rsidRDefault="001C2CE7" w:rsidP="001C2CE7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highlight w:val="yellow"/>
          <w:u w:val="single"/>
        </w:rPr>
        <w:t>The AL-500 Continuum of Care (One Roof) requests proposals for NEW Projects</w:t>
      </w:r>
    </w:p>
    <w:p w:rsidR="001C2CE7" w:rsidRDefault="001C2CE7" w:rsidP="001C2CE7">
      <w:pPr>
        <w:pStyle w:val="NoSpacing"/>
      </w:pPr>
    </w:p>
    <w:p w:rsidR="001C2CE7" w:rsidRDefault="001C2CE7" w:rsidP="001C2CE7">
      <w:pPr>
        <w:pStyle w:val="NoSpacing"/>
        <w:numPr>
          <w:ilvl w:val="0"/>
          <w:numId w:val="1"/>
        </w:numPr>
      </w:pPr>
      <w:r>
        <w:t xml:space="preserve">All applicants must be eligible to receive funding under this </w:t>
      </w:r>
      <w:hyperlink r:id="rId5" w:history="1">
        <w:r>
          <w:rPr>
            <w:rStyle w:val="Hyperlink"/>
          </w:rPr>
          <w:t>NOFO FR-6700-N-25</w:t>
        </w:r>
      </w:hyperlink>
      <w:r>
        <w:t>.</w:t>
      </w:r>
    </w:p>
    <w:p w:rsidR="001C2CE7" w:rsidRDefault="001C2CE7" w:rsidP="001C2CE7">
      <w:pPr>
        <w:pStyle w:val="NoSpacing"/>
      </w:pPr>
    </w:p>
    <w:p w:rsidR="001C2CE7" w:rsidRDefault="001C2CE7" w:rsidP="001C2CE7">
      <w:pPr>
        <w:pStyle w:val="NoSpacing"/>
        <w:numPr>
          <w:ilvl w:val="0"/>
          <w:numId w:val="1"/>
        </w:numPr>
      </w:pPr>
      <w:r>
        <w:t>Remember that HUD does not make awards to individuals.</w:t>
      </w:r>
    </w:p>
    <w:p w:rsidR="001C2CE7" w:rsidRDefault="001C2CE7" w:rsidP="001C2CE7">
      <w:pPr>
        <w:pStyle w:val="NoSpacing"/>
      </w:pPr>
    </w:p>
    <w:p w:rsidR="001C2CE7" w:rsidRDefault="001C2CE7" w:rsidP="001C2CE7">
      <w:pPr>
        <w:pStyle w:val="NoSpacing"/>
        <w:numPr>
          <w:ilvl w:val="0"/>
          <w:numId w:val="1"/>
        </w:numPr>
      </w:pPr>
      <w:r>
        <w:t>Your agency DOES NOT HAVE TO HAVE BEEN PREVIOUSLY FUNDED IN THIS CONTINUUM to apply for funding.</w:t>
      </w:r>
    </w:p>
    <w:p w:rsidR="001C2CE7" w:rsidRDefault="001C2CE7" w:rsidP="001C2CE7">
      <w:pPr>
        <w:pStyle w:val="NoSpacing"/>
      </w:pPr>
    </w:p>
    <w:p w:rsidR="001C2CE7" w:rsidRDefault="001C2CE7" w:rsidP="001C2CE7">
      <w:pPr>
        <w:pStyle w:val="NoSpacing"/>
        <w:numPr>
          <w:ilvl w:val="0"/>
          <w:numId w:val="1"/>
        </w:numPr>
      </w:pPr>
      <w:r>
        <w:t xml:space="preserve">Faith-based organizations may apply on the same basis as any other organization as set forth at 24 CFR 5.109. </w:t>
      </w:r>
    </w:p>
    <w:p w:rsidR="00DD5670" w:rsidRDefault="00DD5670" w:rsidP="00DD5670">
      <w:pPr>
        <w:pStyle w:val="ListParagraph"/>
      </w:pPr>
    </w:p>
    <w:p w:rsidR="00DD5670" w:rsidRDefault="00DD5670" w:rsidP="001C2CE7">
      <w:pPr>
        <w:pStyle w:val="NoSpacing"/>
        <w:numPr>
          <w:ilvl w:val="0"/>
          <w:numId w:val="1"/>
        </w:numPr>
      </w:pPr>
      <w:r>
        <w:t>All applicants must be active members of the One Roof Continuum of Care. In order to have projects considered in the Scoring and Ranking process, an agency must:</w:t>
      </w:r>
    </w:p>
    <w:p w:rsidR="00DD5670" w:rsidRDefault="00DD5670" w:rsidP="00DD5670">
      <w:pPr>
        <w:pStyle w:val="ListParagraph"/>
        <w:numPr>
          <w:ilvl w:val="0"/>
          <w:numId w:val="9"/>
        </w:numPr>
      </w:pPr>
      <w:r>
        <w:t>Attend 80% of membership meetings</w:t>
      </w:r>
    </w:p>
    <w:p w:rsidR="00DD5670" w:rsidRDefault="00DD5670" w:rsidP="00DD5670">
      <w:pPr>
        <w:pStyle w:val="ListParagraph"/>
        <w:numPr>
          <w:ilvl w:val="0"/>
          <w:numId w:val="9"/>
        </w:numPr>
      </w:pPr>
      <w:r>
        <w:t>Be current in membership dues</w:t>
      </w:r>
    </w:p>
    <w:p w:rsidR="00DD5670" w:rsidRDefault="00DD5670" w:rsidP="00DD5670">
      <w:pPr>
        <w:pStyle w:val="ListParagraph"/>
        <w:numPr>
          <w:ilvl w:val="0"/>
          <w:numId w:val="9"/>
        </w:numPr>
      </w:pPr>
      <w:r>
        <w:t>Participate in One Roof events (Point in Time, Cardboard Connect, etc.)</w:t>
      </w:r>
    </w:p>
    <w:p w:rsidR="001C2CE7" w:rsidRDefault="001C2CE7" w:rsidP="001C2CE7">
      <w:pPr>
        <w:pStyle w:val="NoSpacing"/>
        <w:numPr>
          <w:ilvl w:val="0"/>
          <w:numId w:val="1"/>
        </w:numPr>
      </w:pPr>
      <w:r>
        <w:t xml:space="preserve">Please refer to the </w:t>
      </w:r>
      <w:hyperlink r:id="rId6" w:history="1">
        <w:r>
          <w:rPr>
            <w:rStyle w:val="Hyperlink"/>
          </w:rPr>
          <w:t>Expanded Timeline</w:t>
        </w:r>
      </w:hyperlink>
      <w:r>
        <w:t>.</w:t>
      </w:r>
    </w:p>
    <w:p w:rsidR="001C2CE7" w:rsidRDefault="001C2CE7" w:rsidP="001C2CE7">
      <w:pPr>
        <w:pStyle w:val="NoSpacing"/>
      </w:pPr>
    </w:p>
    <w:p w:rsidR="001C2CE7" w:rsidRDefault="001C2CE7" w:rsidP="001C2CE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The only projects the Continuum will accept are (in no particular order):</w:t>
      </w:r>
    </w:p>
    <w:p w:rsidR="001C2CE7" w:rsidRDefault="001C2CE7" w:rsidP="001C2CE7">
      <w:pPr>
        <w:pStyle w:val="NoSpacing"/>
        <w:numPr>
          <w:ilvl w:val="0"/>
          <w:numId w:val="2"/>
        </w:numPr>
      </w:pPr>
      <w:r>
        <w:t>Rapid Rehousing (RRH)</w:t>
      </w:r>
    </w:p>
    <w:p w:rsidR="001C2CE7" w:rsidRDefault="001C2CE7" w:rsidP="001C2CE7">
      <w:pPr>
        <w:pStyle w:val="NoSpacing"/>
        <w:numPr>
          <w:ilvl w:val="0"/>
          <w:numId w:val="2"/>
        </w:numPr>
      </w:pPr>
      <w:r>
        <w:t>Hybrid Housing RRH/ TH Programs particularly for DV or Youth</w:t>
      </w:r>
    </w:p>
    <w:p w:rsidR="001C2CE7" w:rsidRDefault="001C2CE7" w:rsidP="001C2CE7">
      <w:pPr>
        <w:pStyle w:val="NoSpacing"/>
        <w:numPr>
          <w:ilvl w:val="0"/>
          <w:numId w:val="2"/>
        </w:numPr>
      </w:pPr>
      <w:r>
        <w:t>Permanent Supportive Housing</w:t>
      </w:r>
    </w:p>
    <w:p w:rsidR="001C2CE7" w:rsidRDefault="001C2CE7" w:rsidP="001C2CE7">
      <w:pPr>
        <w:pStyle w:val="NoSpacing"/>
        <w:numPr>
          <w:ilvl w:val="0"/>
          <w:numId w:val="2"/>
        </w:numPr>
      </w:pPr>
      <w:r>
        <w:t>Supportive Services Only in the form of Coordinated Entry for DV (to be discussed with Continuum prior to submission)</w:t>
      </w:r>
    </w:p>
    <w:p w:rsidR="001C2CE7" w:rsidRDefault="001C2CE7" w:rsidP="001C2CE7">
      <w:pPr>
        <w:pStyle w:val="NoSpacing"/>
        <w:ind w:left="1440"/>
      </w:pPr>
    </w:p>
    <w:p w:rsidR="001C2CE7" w:rsidRDefault="001C2CE7" w:rsidP="001C2CE7">
      <w:pPr>
        <w:pStyle w:val="NoSpacing"/>
        <w:numPr>
          <w:ilvl w:val="0"/>
          <w:numId w:val="3"/>
        </w:numPr>
      </w:pPr>
      <w:r>
        <w:rPr>
          <w:b/>
        </w:rPr>
        <w:t>Any NEW project must fulfill HUD priorities and address gaps and needs within the One Roof geographic area. This year the priorities are</w:t>
      </w:r>
      <w:r>
        <w:t>:</w:t>
      </w:r>
    </w:p>
    <w:p w:rsidR="001C2CE7" w:rsidRDefault="001C2CE7" w:rsidP="001C2CE7">
      <w:pPr>
        <w:pStyle w:val="NoSpacing"/>
        <w:ind w:left="1080"/>
      </w:pPr>
      <w:r>
        <w:t xml:space="preserve">• Housing Resources – utilize new housing subsidies or new subsidized housing units not funded through the </w:t>
      </w:r>
      <w:proofErr w:type="spellStart"/>
      <w:r>
        <w:t>CoC</w:t>
      </w:r>
      <w:proofErr w:type="spellEnd"/>
      <w:r>
        <w:t xml:space="preserve"> or ESG programs. For PSH, the housing units should provide at least 25% of the units included in the project. For RRH, the housing units should serve at least 25% of the program participants anticipated to be served by the project (for RRH). Housing subsidies or subsidized housing units may be funded through any of the following sources:</w:t>
      </w:r>
    </w:p>
    <w:p w:rsidR="001C2CE7" w:rsidRDefault="001C2CE7" w:rsidP="001C2CE7">
      <w:pPr>
        <w:pStyle w:val="NoSpacing"/>
        <w:numPr>
          <w:ilvl w:val="2"/>
          <w:numId w:val="4"/>
        </w:numPr>
      </w:pPr>
      <w:r>
        <w:t>Private organizations</w:t>
      </w:r>
    </w:p>
    <w:p w:rsidR="001C2CE7" w:rsidRDefault="001C2CE7" w:rsidP="001C2CE7">
      <w:pPr>
        <w:pStyle w:val="NoSpacing"/>
        <w:numPr>
          <w:ilvl w:val="2"/>
          <w:numId w:val="4"/>
        </w:numPr>
      </w:pPr>
      <w:r>
        <w:t>State or local government, including by HOME funding provided through the American Rescue Plan</w:t>
      </w:r>
    </w:p>
    <w:p w:rsidR="001C2CE7" w:rsidRDefault="001C2CE7" w:rsidP="001C2CE7">
      <w:pPr>
        <w:pStyle w:val="NoSpacing"/>
        <w:numPr>
          <w:ilvl w:val="2"/>
          <w:numId w:val="4"/>
        </w:numPr>
      </w:pPr>
      <w:r>
        <w:t>Public Housing Agencies, including by set aside or limited preference</w:t>
      </w:r>
    </w:p>
    <w:p w:rsidR="001C2CE7" w:rsidRDefault="001C2CE7" w:rsidP="001C2CE7">
      <w:pPr>
        <w:pStyle w:val="NoSpacing"/>
        <w:numPr>
          <w:ilvl w:val="2"/>
          <w:numId w:val="4"/>
        </w:numPr>
      </w:pPr>
      <w:r>
        <w:t>Faith-based organizations,</w:t>
      </w:r>
    </w:p>
    <w:p w:rsidR="001C2CE7" w:rsidRDefault="001C2CE7" w:rsidP="001C2CE7">
      <w:pPr>
        <w:pStyle w:val="NoSpacing"/>
        <w:numPr>
          <w:ilvl w:val="2"/>
          <w:numId w:val="4"/>
        </w:numPr>
      </w:pPr>
      <w:r>
        <w:t xml:space="preserve">Federal programs other than </w:t>
      </w:r>
      <w:proofErr w:type="spellStart"/>
      <w:r>
        <w:t>CoC</w:t>
      </w:r>
      <w:proofErr w:type="spellEnd"/>
      <w:r>
        <w:t xml:space="preserve"> or ESG programs</w:t>
      </w:r>
    </w:p>
    <w:p w:rsidR="001C2CE7" w:rsidRDefault="001C2CE7" w:rsidP="001C2CE7">
      <w:pPr>
        <w:pStyle w:val="NoSpacing"/>
        <w:ind w:left="1080"/>
      </w:pPr>
      <w:r>
        <w:t xml:space="preserve">• Healthcare Resources – utilize healthcare resources to help households experiencing homelessness. The value of the assistance being provided is at least an amount equal to 25% of the funding being requested for the project and covered by the healthcare organization. For substance abuse treatment or recovery providers, the organization agrees to provide </w:t>
      </w:r>
      <w:r>
        <w:lastRenderedPageBreak/>
        <w:t>access to treatment or recovery services for all program participants who qualify and choose those services. Sources of health care resources include:</w:t>
      </w:r>
    </w:p>
    <w:p w:rsidR="001C2CE7" w:rsidRDefault="001C2CE7" w:rsidP="001C2CE7">
      <w:pPr>
        <w:pStyle w:val="NoSpacing"/>
        <w:numPr>
          <w:ilvl w:val="0"/>
          <w:numId w:val="5"/>
        </w:numPr>
      </w:pPr>
      <w:r>
        <w:t>Direct contributions from a public or private health insurance provider to the project (e.g. Medicaid)</w:t>
      </w:r>
    </w:p>
    <w:p w:rsidR="001C2CE7" w:rsidRDefault="001C2CE7" w:rsidP="001C2CE7">
      <w:pPr>
        <w:pStyle w:val="NoSpacing"/>
        <w:numPr>
          <w:ilvl w:val="0"/>
          <w:numId w:val="5"/>
        </w:numPr>
      </w:pPr>
      <w:r>
        <w:t>Provision of health care services by a private or public organization tailored to the program participants of the project, including medical, substance abuse, mental health</w:t>
      </w:r>
    </w:p>
    <w:p w:rsidR="001C2CE7" w:rsidRDefault="001C2CE7" w:rsidP="001C2CE7">
      <w:pPr>
        <w:pStyle w:val="NoSpacing"/>
        <w:ind w:left="2160"/>
      </w:pPr>
    </w:p>
    <w:p w:rsidR="001C2CE7" w:rsidRDefault="001C2CE7" w:rsidP="001C2CE7">
      <w:pPr>
        <w:pStyle w:val="NoSpacing"/>
        <w:numPr>
          <w:ilvl w:val="0"/>
          <w:numId w:val="3"/>
        </w:numPr>
      </w:pPr>
      <w:r>
        <w:t>Eligibility for the project must comply with HUD program and fair housing requirements.</w:t>
      </w:r>
    </w:p>
    <w:p w:rsidR="001C2CE7" w:rsidRDefault="001C2CE7" w:rsidP="001C2CE7">
      <w:pPr>
        <w:pStyle w:val="NoSpacing"/>
        <w:numPr>
          <w:ilvl w:val="0"/>
          <w:numId w:val="3"/>
        </w:numPr>
      </w:pPr>
      <w:r>
        <w:t>Eligibility criteria cannot be restricted by the eligibility requirements of the health care service provider</w:t>
      </w:r>
    </w:p>
    <w:p w:rsidR="001C2CE7" w:rsidRDefault="001C2CE7" w:rsidP="001C2CE7">
      <w:pPr>
        <w:pStyle w:val="NoSpacing"/>
      </w:pPr>
    </w:p>
    <w:p w:rsidR="001C2CE7" w:rsidRDefault="001C2CE7" w:rsidP="001C2CE7">
      <w:pPr>
        <w:pStyle w:val="NoSpacing"/>
        <w:numPr>
          <w:ilvl w:val="0"/>
          <w:numId w:val="3"/>
        </w:numPr>
      </w:pPr>
      <w:r>
        <w:t xml:space="preserve">All New Projects must be Housing First compliant. </w:t>
      </w:r>
      <w:hyperlink r:id="rId7" w:history="1">
        <w:r>
          <w:rPr>
            <w:rStyle w:val="Hyperlink"/>
          </w:rPr>
          <w:t>https://files.hudexchange.info/resources/documents/Housing-First-Permanent-Supportive-Housing-Brief.pdf</w:t>
        </w:r>
      </w:hyperlink>
    </w:p>
    <w:p w:rsidR="001C2CE7" w:rsidRDefault="001C2CE7" w:rsidP="001C2CE7">
      <w:pPr>
        <w:pStyle w:val="NoSpacing"/>
        <w:ind w:left="720"/>
      </w:pPr>
      <w:hyperlink r:id="rId8" w:history="1">
        <w:r>
          <w:rPr>
            <w:rStyle w:val="Hyperlink"/>
          </w:rPr>
          <w:t>https://www.hudexchange.info/resource/5294/housing-first-assessment-tool/</w:t>
        </w:r>
      </w:hyperlink>
    </w:p>
    <w:p w:rsidR="001C2CE7" w:rsidRDefault="001C2CE7" w:rsidP="001C2CE7">
      <w:pPr>
        <w:pStyle w:val="NoSpacing"/>
        <w:ind w:left="720"/>
      </w:pPr>
    </w:p>
    <w:p w:rsidR="001C2CE7" w:rsidRDefault="001C2CE7" w:rsidP="001C2CE7">
      <w:pPr>
        <w:pStyle w:val="NoSpacing"/>
        <w:numPr>
          <w:ilvl w:val="0"/>
          <w:numId w:val="3"/>
        </w:numPr>
      </w:pPr>
      <w:r>
        <w:t>All New Projects must follow Equal Access AND all of the agency’s programming must follow Equal Access.</w:t>
      </w:r>
    </w:p>
    <w:p w:rsidR="001C2CE7" w:rsidRDefault="001C2CE7" w:rsidP="001C2CE7">
      <w:pPr>
        <w:pStyle w:val="NoSpacing"/>
        <w:ind w:left="720"/>
      </w:pPr>
      <w:hyperlink r:id="rId9" w:history="1">
        <w:r>
          <w:rPr>
            <w:rStyle w:val="Hyperlink"/>
          </w:rPr>
          <w:t>https://www.hud.gov/program_offices/fair_housing_equal_opp/housing_discrimination_and_persons_identifying_lgbtq</w:t>
        </w:r>
      </w:hyperlink>
    </w:p>
    <w:p w:rsidR="001C2CE7" w:rsidRDefault="001C2CE7" w:rsidP="001C2CE7">
      <w:pPr>
        <w:pStyle w:val="NoSpacing"/>
        <w:ind w:firstLine="720"/>
      </w:pPr>
      <w:hyperlink r:id="rId10" w:history="1">
        <w:r>
          <w:rPr>
            <w:rStyle w:val="Hyperlink"/>
          </w:rPr>
          <w:t>https://endhomelessness.org/resource/huds-equal-access-rule/</w:t>
        </w:r>
      </w:hyperlink>
    </w:p>
    <w:p w:rsidR="001C2CE7" w:rsidRDefault="001C2CE7" w:rsidP="001C2CE7">
      <w:pPr>
        <w:pStyle w:val="NoSpacing"/>
        <w:ind w:left="720"/>
      </w:pPr>
    </w:p>
    <w:p w:rsidR="001C2CE7" w:rsidRDefault="001C2CE7" w:rsidP="001C2CE7">
      <w:pPr>
        <w:pStyle w:val="NoSpacing"/>
        <w:numPr>
          <w:ilvl w:val="0"/>
          <w:numId w:val="3"/>
        </w:numPr>
      </w:pPr>
      <w:r>
        <w:t>All New Projects must utilize or agree to utilize HMIS and be in compliance with HMIS Policies and Procedures (</w:t>
      </w:r>
      <w:proofErr w:type="spellStart"/>
      <w:r>
        <w:t>PromisSE</w:t>
      </w:r>
      <w:proofErr w:type="spellEnd"/>
      <w:r>
        <w:t xml:space="preserve">), noting that this includes real-time data entry. </w:t>
      </w:r>
    </w:p>
    <w:p w:rsidR="001C2CE7" w:rsidRDefault="001C2CE7" w:rsidP="001C2CE7">
      <w:pPr>
        <w:pStyle w:val="NoSpacing"/>
        <w:ind w:left="720"/>
      </w:pPr>
      <w:hyperlink r:id="rId11" w:history="1">
        <w:r>
          <w:rPr>
            <w:rStyle w:val="Hyperlink"/>
          </w:rPr>
          <w:t>https://static1.squarespace.com/static/5f8f0cb09d613c3e3c698554/t/606f4fbe9359e4653ced5256/1617907647018/03.15.2021+PromisSE+Policies+and+Procedures+%281%29.pdf</w:t>
        </w:r>
      </w:hyperlink>
    </w:p>
    <w:p w:rsidR="001C2CE7" w:rsidRDefault="001C2CE7" w:rsidP="001C2CE7">
      <w:pPr>
        <w:pStyle w:val="NoSpacing"/>
        <w:ind w:left="720"/>
      </w:pPr>
    </w:p>
    <w:p w:rsidR="001C2CE7" w:rsidRDefault="001C2CE7" w:rsidP="001C2CE7">
      <w:pPr>
        <w:pStyle w:val="NoSpacing"/>
        <w:numPr>
          <w:ilvl w:val="0"/>
          <w:numId w:val="3"/>
        </w:numPr>
      </w:pPr>
      <w:r>
        <w:t xml:space="preserve">If the program serves Domestic Violence victims, a </w:t>
      </w:r>
      <w:proofErr w:type="spellStart"/>
      <w:r>
        <w:t>CoC</w:t>
      </w:r>
      <w:proofErr w:type="spellEnd"/>
      <w:r>
        <w:t xml:space="preserve"> approved Comparable Database must be utilized and </w:t>
      </w:r>
      <w:proofErr w:type="spellStart"/>
      <w:r>
        <w:t>CoC</w:t>
      </w:r>
      <w:proofErr w:type="spellEnd"/>
      <w:r>
        <w:t xml:space="preserve"> requested data must be provided. For more information contact </w:t>
      </w:r>
      <w:hyperlink r:id="rId12" w:history="1">
        <w:r>
          <w:rPr>
            <w:rStyle w:val="Hyperlink"/>
          </w:rPr>
          <w:t>Jeri@oneroofonline.org</w:t>
        </w:r>
      </w:hyperlink>
      <w:r>
        <w:t xml:space="preserve">. </w:t>
      </w:r>
    </w:p>
    <w:p w:rsidR="001C2CE7" w:rsidRDefault="001C2CE7" w:rsidP="001C2CE7">
      <w:pPr>
        <w:pStyle w:val="NoSpacing"/>
        <w:ind w:left="720"/>
      </w:pPr>
      <w:hyperlink r:id="rId13" w:history="1">
        <w:r>
          <w:rPr>
            <w:rStyle w:val="Hyperlink"/>
          </w:rPr>
          <w:t>https://files.hudexchange.info/resources/documents/Homeless-System-Response-Comparable-Database-Vendor-Checklist.pdf</w:t>
        </w:r>
      </w:hyperlink>
    </w:p>
    <w:p w:rsidR="001C2CE7" w:rsidRDefault="001C2CE7" w:rsidP="001C2CE7">
      <w:pPr>
        <w:pStyle w:val="NoSpacing"/>
        <w:ind w:left="720"/>
      </w:pPr>
    </w:p>
    <w:p w:rsidR="001C2CE7" w:rsidRDefault="001C2CE7" w:rsidP="001C2CE7">
      <w:pPr>
        <w:pStyle w:val="NoSpacing"/>
        <w:numPr>
          <w:ilvl w:val="0"/>
          <w:numId w:val="3"/>
        </w:numPr>
      </w:pPr>
      <w:r>
        <w:t xml:space="preserve">All New Projects must be in compliance with Coordinated Entry, noting that this means clients may not be placed in any </w:t>
      </w:r>
      <w:proofErr w:type="spellStart"/>
      <w:r>
        <w:t>CoC</w:t>
      </w:r>
      <w:proofErr w:type="spellEnd"/>
      <w:r>
        <w:t xml:space="preserve"> funded housing program without appropriate referral from Coordinated Entry and the Continuum Master List. </w:t>
      </w:r>
      <w:hyperlink r:id="rId14" w:history="1">
        <w:r>
          <w:rPr>
            <w:rStyle w:val="Hyperlink"/>
          </w:rPr>
          <w:t>https://static1.squarespace.com/static/5f8f0cb09d613c3e3c698554/t/626962ccc711d7246fa26844/1651073741812/04.2022+Coordinated+Entry+Policies+and+Procedures.pdf</w:t>
        </w:r>
      </w:hyperlink>
    </w:p>
    <w:p w:rsidR="001C2CE7" w:rsidRDefault="001C2CE7" w:rsidP="001C2CE7">
      <w:pPr>
        <w:pStyle w:val="NoSpacing"/>
        <w:ind w:left="720"/>
      </w:pPr>
    </w:p>
    <w:p w:rsidR="001C2CE7" w:rsidRDefault="001C2CE7" w:rsidP="001C2CE7">
      <w:pPr>
        <w:pStyle w:val="NoSpacing"/>
        <w:numPr>
          <w:ilvl w:val="0"/>
          <w:numId w:val="3"/>
        </w:numPr>
      </w:pPr>
      <w:r>
        <w:t xml:space="preserve">All New Project applicants are required to comply with the One Roof Governance Document. </w:t>
      </w:r>
      <w:hyperlink r:id="rId15" w:history="1">
        <w:r>
          <w:rPr>
            <w:rStyle w:val="Hyperlink"/>
          </w:rPr>
          <w:t>https://static1.squarespace.com/static/5f8f0cb09d613c3e3c698554/t/606f4ec59f5f262b8c86224c/1617907397566/Governance+Document+March+2021+%281%29.pdf</w:t>
        </w:r>
      </w:hyperlink>
      <w:r>
        <w:t xml:space="preserve">  and other policy and procedure manuals as approved by the Board. This includes, but is not limited to:</w:t>
      </w:r>
    </w:p>
    <w:p w:rsidR="001C2CE7" w:rsidRDefault="001C2CE7" w:rsidP="001C2CE7">
      <w:pPr>
        <w:pStyle w:val="NoSpacing"/>
        <w:ind w:left="720" w:firstLine="720"/>
      </w:pPr>
      <w:r>
        <w:t>• Committee participation as appropriate</w:t>
      </w:r>
    </w:p>
    <w:p w:rsidR="001C2CE7" w:rsidRDefault="001C2CE7" w:rsidP="00DD5670">
      <w:pPr>
        <w:pStyle w:val="NoSpacing"/>
        <w:ind w:left="1440"/>
      </w:pPr>
      <w:r>
        <w:t xml:space="preserve">• Active involvement in the Point-in-Time overnight street/known location count as scheduled </w:t>
      </w:r>
      <w:bookmarkStart w:id="0" w:name="_GoBack"/>
      <w:bookmarkEnd w:id="0"/>
    </w:p>
    <w:sectPr w:rsidR="001C2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22D4"/>
    <w:multiLevelType w:val="hybridMultilevel"/>
    <w:tmpl w:val="D370F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C87C34"/>
    <w:multiLevelType w:val="hybridMultilevel"/>
    <w:tmpl w:val="E59C3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65156F"/>
    <w:multiLevelType w:val="hybridMultilevel"/>
    <w:tmpl w:val="9692FB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CC11E1C"/>
    <w:multiLevelType w:val="hybridMultilevel"/>
    <w:tmpl w:val="62AE0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5A61"/>
    <w:multiLevelType w:val="hybridMultilevel"/>
    <w:tmpl w:val="F0E066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34B83"/>
    <w:multiLevelType w:val="hybridMultilevel"/>
    <w:tmpl w:val="EED63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E7"/>
    <w:rsid w:val="00063856"/>
    <w:rsid w:val="001C2CE7"/>
    <w:rsid w:val="00D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3E2C"/>
  <w15:chartTrackingRefBased/>
  <w15:docId w15:val="{AAB81235-B6F0-4166-AF7C-978951B1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E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2CE7"/>
    <w:rPr>
      <w:color w:val="0000FF"/>
      <w:u w:val="single"/>
    </w:rPr>
  </w:style>
  <w:style w:type="paragraph" w:styleId="NoSpacing">
    <w:name w:val="No Spacing"/>
    <w:uiPriority w:val="1"/>
    <w:qFormat/>
    <w:rsid w:val="001C2C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2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2023-07-28T20:07:00Z</dcterms:created>
  <dcterms:modified xsi:type="dcterms:W3CDTF">2023-07-28T20:18:00Z</dcterms:modified>
</cp:coreProperties>
</file>